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2662"/>
      </w:pPr>
      <w:r>
        <w:rPr/>
        <w:t>La Verne Chamber of Commerce</w:t>
      </w:r>
    </w:p>
    <w:p>
      <w:pPr>
        <w:pStyle w:val="BodyText"/>
        <w:spacing w:before="1"/>
        <w:rPr>
          <w:rFonts w:ascii="Tahoma"/>
          <w:b/>
          <w:sz w:val="26"/>
        </w:rPr>
      </w:pPr>
    </w:p>
    <w:p>
      <w:pPr>
        <w:spacing w:before="0"/>
        <w:ind w:left="2659" w:right="2682" w:firstLine="0"/>
        <w:jc w:val="center"/>
        <w:rPr>
          <w:rFonts w:ascii="Tahoma"/>
          <w:b/>
          <w:sz w:val="26"/>
        </w:rPr>
      </w:pPr>
      <w:r>
        <w:rPr>
          <w:rFonts w:ascii="Tahoma"/>
          <w:b/>
          <w:sz w:val="26"/>
        </w:rPr>
        <w:t>~ Public Policy Platform ~</w:t>
      </w:r>
    </w:p>
    <w:p>
      <w:pPr>
        <w:pStyle w:val="BodyText"/>
        <w:rPr>
          <w:rFonts w:ascii="Tahoma"/>
          <w:b/>
          <w:sz w:val="30"/>
        </w:rPr>
      </w:pPr>
    </w:p>
    <w:p>
      <w:pPr>
        <w:pStyle w:val="Heading2"/>
        <w:spacing w:before="195"/>
        <w:ind w:right="396"/>
      </w:pPr>
      <w:r>
        <w:rPr/>
        <w:t>The Mission of the "La Verne Chamber of Commerce" is to provide opportunities for business to grow and prosper.</w:t>
      </w:r>
    </w:p>
    <w:p>
      <w:pPr>
        <w:pStyle w:val="BodyText"/>
        <w:spacing w:before="10"/>
        <w:rPr>
          <w:sz w:val="25"/>
        </w:rPr>
      </w:pPr>
    </w:p>
    <w:p>
      <w:pPr>
        <w:spacing w:before="0"/>
        <w:ind w:left="100" w:right="116" w:firstLine="0"/>
        <w:jc w:val="both"/>
        <w:rPr>
          <w:sz w:val="26"/>
        </w:rPr>
      </w:pPr>
      <w:r>
        <w:rPr>
          <w:spacing w:val="-10"/>
          <w:sz w:val="26"/>
        </w:rPr>
        <w:t>To </w:t>
      </w:r>
      <w:r>
        <w:rPr>
          <w:sz w:val="26"/>
        </w:rPr>
        <w:t>that extent the Chamber’s Legislative Committee will work to advance the functions of local, state and federal government by advocating issues associated with </w:t>
      </w:r>
      <w:r>
        <w:rPr>
          <w:i/>
          <w:sz w:val="26"/>
        </w:rPr>
        <w:t>Education; </w:t>
      </w:r>
      <w:r>
        <w:rPr>
          <w:i/>
          <w:sz w:val="26"/>
        </w:rPr>
        <w:t>Environment &amp; Utilities; Infrastructure; Labor; and Regulations </w:t>
      </w:r>
      <w:r>
        <w:rPr>
          <w:sz w:val="26"/>
        </w:rPr>
        <w:t>toward better public safety and a more robust economic base and climate for businesses, private enterprise and residents in and around the surrounding areas of La</w:t>
      </w:r>
      <w:r>
        <w:rPr>
          <w:spacing w:val="-13"/>
          <w:sz w:val="26"/>
        </w:rPr>
        <w:t> </w:t>
      </w:r>
      <w:r>
        <w:rPr>
          <w:spacing w:val="-5"/>
          <w:sz w:val="26"/>
        </w:rPr>
        <w:t>Verne.</w:t>
      </w:r>
    </w:p>
    <w:p>
      <w:pPr>
        <w:pStyle w:val="BodyText"/>
        <w:spacing w:before="4"/>
      </w:pPr>
    </w:p>
    <w:p>
      <w:pPr>
        <w:pStyle w:val="Heading3"/>
        <w:numPr>
          <w:ilvl w:val="0"/>
          <w:numId w:val="1"/>
        </w:numPr>
        <w:tabs>
          <w:tab w:pos="341" w:val="left" w:leader="none"/>
        </w:tabs>
        <w:spacing w:line="274" w:lineRule="exact" w:before="0" w:after="0"/>
        <w:ind w:left="340" w:right="0" w:hanging="240"/>
        <w:jc w:val="left"/>
        <w:rPr>
          <w:i/>
        </w:rPr>
      </w:pPr>
      <w:r>
        <w:rPr>
          <w:i/>
        </w:rPr>
        <w:t>Education:</w:t>
      </w:r>
    </w:p>
    <w:p>
      <w:pPr>
        <w:pStyle w:val="BodyText"/>
        <w:ind w:left="100" w:right="396"/>
      </w:pPr>
      <w:r>
        <w:rPr/>
        <w:t>Support quality K through 12 academic, community and trade-related educational programs geared toward developing a qualified workforce, responsible business and community leaders.</w:t>
      </w:r>
    </w:p>
    <w:p>
      <w:pPr>
        <w:pStyle w:val="BodyText"/>
        <w:spacing w:before="7"/>
      </w:pPr>
    </w:p>
    <w:p>
      <w:pPr>
        <w:pStyle w:val="Heading3"/>
        <w:numPr>
          <w:ilvl w:val="0"/>
          <w:numId w:val="1"/>
        </w:numPr>
        <w:tabs>
          <w:tab w:pos="341" w:val="left" w:leader="none"/>
        </w:tabs>
        <w:spacing w:line="274" w:lineRule="exact" w:before="0" w:after="0"/>
        <w:ind w:left="340" w:right="0" w:hanging="240"/>
        <w:jc w:val="left"/>
        <w:rPr>
          <w:i/>
        </w:rPr>
      </w:pPr>
      <w:r>
        <w:rPr>
          <w:i/>
        </w:rPr>
        <w:t>Environment &amp;</w:t>
      </w:r>
      <w:r>
        <w:rPr>
          <w:i/>
          <w:spacing w:val="-14"/>
        </w:rPr>
        <w:t> </w:t>
      </w:r>
      <w:r>
        <w:rPr>
          <w:i/>
        </w:rPr>
        <w:t>Utilities:</w:t>
      </w:r>
    </w:p>
    <w:p>
      <w:pPr>
        <w:pStyle w:val="BodyText"/>
        <w:ind w:left="100" w:right="466"/>
      </w:pPr>
      <w:r>
        <w:rPr/>
        <w:t>Support the advancement of policies and programs to sustain a safe, high quality, reliable and cost effective sources of gas, power and water by encouraging and promoting conservation, efficient-based strategies and market-based incentive recycling programs.</w:t>
      </w:r>
    </w:p>
    <w:p>
      <w:pPr>
        <w:pStyle w:val="BodyText"/>
        <w:spacing w:before="8"/>
      </w:pPr>
    </w:p>
    <w:p>
      <w:pPr>
        <w:pStyle w:val="Heading3"/>
        <w:numPr>
          <w:ilvl w:val="0"/>
          <w:numId w:val="1"/>
        </w:numPr>
        <w:tabs>
          <w:tab w:pos="341" w:val="left" w:leader="none"/>
        </w:tabs>
        <w:spacing w:line="274" w:lineRule="exact" w:before="0" w:after="0"/>
        <w:ind w:left="340" w:right="0" w:hanging="240"/>
        <w:jc w:val="left"/>
        <w:rPr>
          <w:i/>
        </w:rPr>
      </w:pPr>
      <w:r>
        <w:rPr>
          <w:i/>
        </w:rPr>
        <w:t>Infrastructure:</w:t>
      </w:r>
    </w:p>
    <w:p>
      <w:pPr>
        <w:pStyle w:val="BodyText"/>
        <w:ind w:left="100" w:right="136"/>
      </w:pPr>
      <w:r>
        <w:rPr/>
        <w:t>Support the development and maintenance of utilities infrastructure projects that stimulate economic prosperity and address the needs of existing and future population growth that enhance quality and reliability of imported and local water supplies; increase production and use of reclaimed, recycled water supplies; and other natural resources; and alternate methods of goods movement and public transit (i.e., bike, bus, and light-rail).</w:t>
      </w:r>
    </w:p>
    <w:p>
      <w:pPr>
        <w:pStyle w:val="BodyText"/>
        <w:spacing w:before="7"/>
      </w:pPr>
    </w:p>
    <w:p>
      <w:pPr>
        <w:pStyle w:val="Heading3"/>
        <w:numPr>
          <w:ilvl w:val="0"/>
          <w:numId w:val="1"/>
        </w:numPr>
        <w:tabs>
          <w:tab w:pos="341" w:val="left" w:leader="none"/>
        </w:tabs>
        <w:spacing w:line="274" w:lineRule="exact" w:before="0" w:after="0"/>
        <w:ind w:left="340" w:right="0" w:hanging="240"/>
        <w:jc w:val="left"/>
        <w:rPr>
          <w:i/>
        </w:rPr>
      </w:pPr>
      <w:r>
        <w:rPr>
          <w:i/>
        </w:rPr>
        <w:t>Labor:</w:t>
      </w:r>
    </w:p>
    <w:p>
      <w:pPr>
        <w:pStyle w:val="BodyText"/>
        <w:ind w:left="100" w:right="322"/>
      </w:pPr>
      <w:r>
        <w:rPr/>
        <w:t>Support policies that allow business and industry the needed flexibility to safely and efficiently manage its workforce; further advance workers’ compensation law reforms and programs enhancing productivity.</w:t>
      </w:r>
    </w:p>
    <w:p>
      <w:pPr>
        <w:pStyle w:val="BodyText"/>
        <w:spacing w:before="7"/>
      </w:pPr>
    </w:p>
    <w:p>
      <w:pPr>
        <w:pStyle w:val="Heading3"/>
        <w:numPr>
          <w:ilvl w:val="0"/>
          <w:numId w:val="1"/>
        </w:numPr>
        <w:tabs>
          <w:tab w:pos="341" w:val="left" w:leader="none"/>
        </w:tabs>
        <w:spacing w:line="274" w:lineRule="exact" w:before="0" w:after="0"/>
        <w:ind w:left="340" w:right="0" w:hanging="240"/>
        <w:jc w:val="left"/>
        <w:rPr>
          <w:i/>
        </w:rPr>
      </w:pPr>
      <w:r>
        <w:rPr>
          <w:i/>
        </w:rPr>
        <w:t>Regulations:</w:t>
      </w:r>
    </w:p>
    <w:p>
      <w:pPr>
        <w:pStyle w:val="BodyText"/>
        <w:ind w:left="100" w:right="122"/>
      </w:pPr>
      <w:r>
        <w:rPr/>
        <w:t>Support efforts and policies that; retain and encourage new businesses by minimizing and streamlining the permitting and regulatory processes of governmental entities, address the health, housing and nourishing needs of the homeless and disadvantaged handicapped and veterans.</w:t>
      </w:r>
    </w:p>
    <w:p>
      <w:pPr>
        <w:pStyle w:val="BodyText"/>
        <w:rPr>
          <w:sz w:val="26"/>
        </w:rPr>
      </w:pPr>
    </w:p>
    <w:p>
      <w:pPr>
        <w:pStyle w:val="BodyText"/>
        <w:spacing w:before="2"/>
        <w:rPr>
          <w:sz w:val="22"/>
        </w:rPr>
      </w:pPr>
    </w:p>
    <w:p>
      <w:pPr>
        <w:spacing w:before="1"/>
        <w:ind w:left="100" w:right="0" w:firstLine="0"/>
        <w:jc w:val="left"/>
        <w:rPr>
          <w:i/>
          <w:sz w:val="24"/>
        </w:rPr>
      </w:pPr>
      <w:r>
        <w:rPr>
          <w:i/>
          <w:sz w:val="24"/>
        </w:rPr>
        <w:t>Adopted: November 18, 2013 - Board of Directors</w:t>
      </w:r>
    </w:p>
    <w:sectPr>
      <w:type w:val="continuous"/>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40" w:hanging="240"/>
        <w:jc w:val="left"/>
      </w:pPr>
      <w:rPr>
        <w:rFonts w:hint="default" w:ascii="Times New Roman" w:hAnsi="Times New Roman" w:eastAsia="Times New Roman" w:cs="Times New Roman"/>
        <w:b/>
        <w:bCs/>
        <w:i/>
        <w:spacing w:val="-1"/>
        <w:w w:val="99"/>
        <w:sz w:val="24"/>
        <w:szCs w:val="24"/>
      </w:rPr>
    </w:lvl>
    <w:lvl w:ilvl="1">
      <w:start w:val="0"/>
      <w:numFmt w:val="bullet"/>
      <w:lvlText w:val="•"/>
      <w:lvlJc w:val="left"/>
      <w:pPr>
        <w:ind w:left="1264" w:hanging="240"/>
      </w:pPr>
      <w:rPr>
        <w:rFonts w:hint="default"/>
      </w:rPr>
    </w:lvl>
    <w:lvl w:ilvl="2">
      <w:start w:val="0"/>
      <w:numFmt w:val="bullet"/>
      <w:lvlText w:val="•"/>
      <w:lvlJc w:val="left"/>
      <w:pPr>
        <w:ind w:left="2188" w:hanging="240"/>
      </w:pPr>
      <w:rPr>
        <w:rFonts w:hint="default"/>
      </w:rPr>
    </w:lvl>
    <w:lvl w:ilvl="3">
      <w:start w:val="0"/>
      <w:numFmt w:val="bullet"/>
      <w:lvlText w:val="•"/>
      <w:lvlJc w:val="left"/>
      <w:pPr>
        <w:ind w:left="3112" w:hanging="240"/>
      </w:pPr>
      <w:rPr>
        <w:rFonts w:hint="default"/>
      </w:rPr>
    </w:lvl>
    <w:lvl w:ilvl="4">
      <w:start w:val="0"/>
      <w:numFmt w:val="bullet"/>
      <w:lvlText w:val="•"/>
      <w:lvlJc w:val="left"/>
      <w:pPr>
        <w:ind w:left="4036" w:hanging="240"/>
      </w:pPr>
      <w:rPr>
        <w:rFonts w:hint="default"/>
      </w:rPr>
    </w:lvl>
    <w:lvl w:ilvl="5">
      <w:start w:val="0"/>
      <w:numFmt w:val="bullet"/>
      <w:lvlText w:val="•"/>
      <w:lvlJc w:val="left"/>
      <w:pPr>
        <w:ind w:left="4960" w:hanging="240"/>
      </w:pPr>
      <w:rPr>
        <w:rFonts w:hint="default"/>
      </w:rPr>
    </w:lvl>
    <w:lvl w:ilvl="6">
      <w:start w:val="0"/>
      <w:numFmt w:val="bullet"/>
      <w:lvlText w:val="•"/>
      <w:lvlJc w:val="left"/>
      <w:pPr>
        <w:ind w:left="5884" w:hanging="240"/>
      </w:pPr>
      <w:rPr>
        <w:rFonts w:hint="default"/>
      </w:rPr>
    </w:lvl>
    <w:lvl w:ilvl="7">
      <w:start w:val="0"/>
      <w:numFmt w:val="bullet"/>
      <w:lvlText w:val="•"/>
      <w:lvlJc w:val="left"/>
      <w:pPr>
        <w:ind w:left="6808" w:hanging="240"/>
      </w:pPr>
      <w:rPr>
        <w:rFonts w:hint="default"/>
      </w:rPr>
    </w:lvl>
    <w:lvl w:ilvl="8">
      <w:start w:val="0"/>
      <w:numFmt w:val="bullet"/>
      <w:lvlText w:val="•"/>
      <w:lvlJc w:val="left"/>
      <w:pPr>
        <w:ind w:left="7732" w:hanging="2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659" w:right="2682"/>
      <w:jc w:val="center"/>
      <w:outlineLvl w:val="1"/>
    </w:pPr>
    <w:rPr>
      <w:rFonts w:ascii="Tahoma" w:hAnsi="Tahoma" w:eastAsia="Tahoma" w:cs="Tahoma"/>
      <w:b/>
      <w:bCs/>
      <w:sz w:val="26"/>
      <w:szCs w:val="26"/>
    </w:rPr>
  </w:style>
  <w:style w:styleId="Heading2" w:type="paragraph">
    <w:name w:val="Heading 2"/>
    <w:basedOn w:val="Normal"/>
    <w:uiPriority w:val="1"/>
    <w:qFormat/>
    <w:pPr>
      <w:ind w:left="100" w:right="116"/>
      <w:outlineLvl w:val="2"/>
    </w:pPr>
    <w:rPr>
      <w:rFonts w:ascii="Times New Roman" w:hAnsi="Times New Roman" w:eastAsia="Times New Roman" w:cs="Times New Roman"/>
      <w:sz w:val="26"/>
      <w:szCs w:val="26"/>
    </w:rPr>
  </w:style>
  <w:style w:styleId="Heading3" w:type="paragraph">
    <w:name w:val="Heading 3"/>
    <w:basedOn w:val="Normal"/>
    <w:uiPriority w:val="1"/>
    <w:qFormat/>
    <w:pPr>
      <w:spacing w:line="274" w:lineRule="exact"/>
      <w:ind w:left="340" w:hanging="240"/>
      <w:outlineLvl w:val="3"/>
    </w:pPr>
    <w:rPr>
      <w:rFonts w:ascii="Times New Roman" w:hAnsi="Times New Roman" w:eastAsia="Times New Roman" w:cs="Times New Roman"/>
      <w:b/>
      <w:bCs/>
      <w:i/>
      <w:sz w:val="24"/>
      <w:szCs w:val="24"/>
    </w:rPr>
  </w:style>
  <w:style w:styleId="ListParagraph" w:type="paragraph">
    <w:name w:val="List Paragraph"/>
    <w:basedOn w:val="Normal"/>
    <w:uiPriority w:val="1"/>
    <w:qFormat/>
    <w:pPr>
      <w:spacing w:line="274" w:lineRule="exact"/>
      <w:ind w:left="340" w:hanging="24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EMSEM</dc:creator>
  <dcterms:created xsi:type="dcterms:W3CDTF">2017-08-23T21:49:50Z</dcterms:created>
  <dcterms:modified xsi:type="dcterms:W3CDTF">2017-08-23T21:49:50Z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2013-11-25T00:00:00Z</vt:filetime>
  </property>
  <property fmtid="{D5CDD505-2E9C-101B-9397-08002B2CF9AE}" pid="3" name="Creator">
    <vt:lpwstr>Microsoft® Word 2010</vt:lpwstr>
  </property>
  <property fmtid="{D5CDD505-2E9C-101B-9397-08002B2CF9AE}" pid="4" name="LastSaved">
    <vt:filetime>2017-08-23T00:00:00Z</vt:filetime>
  </property>
</Properties>
</file>